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7FC40F5B" w:rsidR="00506C33" w:rsidRPr="00667900" w:rsidRDefault="1D314475" w:rsidP="007B294D">
      <w:pPr>
        <w:jc w:val="center"/>
        <w:rPr>
          <w:rFonts w:asciiTheme="minorHAnsi" w:hAnsiTheme="minorHAnsi" w:cs="Arial"/>
          <w:sz w:val="28"/>
          <w:szCs w:val="28"/>
        </w:rPr>
      </w:pPr>
      <w:r w:rsidRPr="1D314475">
        <w:rPr>
          <w:rFonts w:asciiTheme="minorHAnsi" w:hAnsiTheme="minorHAnsi" w:cs="Arial"/>
          <w:sz w:val="28"/>
          <w:szCs w:val="28"/>
        </w:rPr>
        <w:t xml:space="preserve">DATE: </w:t>
      </w:r>
      <w:r w:rsidR="00BA4A94">
        <w:rPr>
          <w:rFonts w:asciiTheme="minorHAnsi" w:hAnsiTheme="minorHAnsi" w:cs="Arial"/>
          <w:sz w:val="28"/>
          <w:szCs w:val="28"/>
        </w:rPr>
        <w:t>11/20/</w:t>
      </w:r>
      <w:r w:rsidRPr="1D314475">
        <w:rPr>
          <w:rFonts w:asciiTheme="minorHAnsi" w:hAnsiTheme="minorHAnsi" w:cs="Arial"/>
          <w:sz w:val="28"/>
          <w:szCs w:val="28"/>
        </w:rPr>
        <w:t>2020</w:t>
      </w:r>
    </w:p>
    <w:p w14:paraId="4C8A8E5B" w14:textId="68B64281" w:rsidR="1D314475" w:rsidRDefault="1D314475" w:rsidP="1D314475">
      <w:pPr>
        <w:jc w:val="center"/>
        <w:rPr>
          <w:rFonts w:asciiTheme="minorHAnsi" w:hAnsiTheme="minorHAnsi" w:cs="Arial"/>
          <w:sz w:val="28"/>
          <w:szCs w:val="28"/>
        </w:rPr>
      </w:pPr>
    </w:p>
    <w:p w14:paraId="7C40A3BC" w14:textId="58C885E2" w:rsidR="002F11F6" w:rsidRPr="008D56C4" w:rsidRDefault="1D314475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 w:rsidRPr="1D314475">
        <w:rPr>
          <w:rFonts w:ascii="Calibri" w:hAnsi="Calibri" w:cs="Arial"/>
          <w:sz w:val="22"/>
          <w:szCs w:val="22"/>
          <w:u w:val="single"/>
        </w:rPr>
        <w:t>Members Present</w:t>
      </w:r>
      <w:r w:rsidRPr="1D314475">
        <w:rPr>
          <w:rFonts w:ascii="Calibri" w:hAnsi="Calibri" w:cs="Arial"/>
          <w:sz w:val="22"/>
          <w:szCs w:val="22"/>
        </w:rPr>
        <w:t xml:space="preserve">: </w:t>
      </w:r>
      <w:r w:rsidRPr="1D314475">
        <w:rPr>
          <w:rFonts w:ascii="Calibri" w:hAnsi="Calibri" w:cs="Calibri"/>
          <w:sz w:val="22"/>
          <w:szCs w:val="22"/>
        </w:rPr>
        <w:t xml:space="preserve">Members: Thomas Hanford, </w:t>
      </w:r>
      <w:proofErr w:type="spellStart"/>
      <w:r w:rsidRPr="1D314475">
        <w:rPr>
          <w:rFonts w:ascii="Calibri" w:hAnsi="Calibri" w:cs="Calibri"/>
          <w:sz w:val="22"/>
          <w:szCs w:val="22"/>
        </w:rPr>
        <w:t>Maaike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1D314475">
        <w:rPr>
          <w:rFonts w:ascii="Calibri" w:hAnsi="Calibri" w:cs="Calibri"/>
          <w:sz w:val="22"/>
          <w:szCs w:val="22"/>
        </w:rPr>
        <w:t>Oldemans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, Abby Thomas, Carol Van Der Karr, Chris Widdall, Eric </w:t>
      </w:r>
      <w:proofErr w:type="spellStart"/>
      <w:r w:rsidRPr="1D314475">
        <w:rPr>
          <w:rFonts w:ascii="Calibri" w:hAnsi="Calibri" w:cs="Calibri"/>
          <w:sz w:val="22"/>
          <w:szCs w:val="22"/>
        </w:rPr>
        <w:t>Edlund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, Lindsey Darvin, Jeffrey </w:t>
      </w:r>
      <w:proofErr w:type="spellStart"/>
      <w:r w:rsidRPr="1D314475">
        <w:rPr>
          <w:rFonts w:ascii="Calibri" w:hAnsi="Calibri" w:cs="Calibri"/>
          <w:sz w:val="22"/>
          <w:szCs w:val="22"/>
        </w:rPr>
        <w:t>Walkuski</w:t>
      </w:r>
      <w:proofErr w:type="spellEnd"/>
      <w:r w:rsidRPr="1D314475">
        <w:rPr>
          <w:rFonts w:ascii="Calibri" w:hAnsi="Calibri" w:cs="Calibri"/>
          <w:sz w:val="22"/>
          <w:szCs w:val="22"/>
        </w:rPr>
        <w:t xml:space="preserve">, Allyson Hasbrouck, Margaret </w:t>
      </w:r>
      <w:proofErr w:type="spellStart"/>
      <w:r w:rsidRPr="1D314475">
        <w:rPr>
          <w:rFonts w:ascii="Calibri" w:hAnsi="Calibri" w:cs="Calibri"/>
          <w:sz w:val="22"/>
          <w:szCs w:val="22"/>
        </w:rPr>
        <w:t>Gichuru</w:t>
      </w:r>
      <w:proofErr w:type="spellEnd"/>
      <w:r w:rsidR="00B012E0">
        <w:rPr>
          <w:rFonts w:ascii="Calibri" w:hAnsi="Calibri" w:cs="Calibri"/>
          <w:sz w:val="22"/>
          <w:szCs w:val="22"/>
        </w:rPr>
        <w:t xml:space="preserve">, Kristen </w:t>
      </w:r>
      <w:proofErr w:type="spellStart"/>
      <w:r w:rsidR="00B012E0">
        <w:rPr>
          <w:rFonts w:ascii="Calibri" w:hAnsi="Calibri" w:cs="Calibri"/>
          <w:sz w:val="22"/>
          <w:szCs w:val="22"/>
        </w:rPr>
        <w:t>Gielenfeldt</w:t>
      </w:r>
      <w:proofErr w:type="spellEnd"/>
      <w:r w:rsidR="00B012E0">
        <w:rPr>
          <w:rFonts w:ascii="Calibri" w:hAnsi="Calibri" w:cs="Calibri"/>
          <w:sz w:val="22"/>
          <w:szCs w:val="22"/>
        </w:rPr>
        <w:t>, Jessica Liberty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401C20A5" w:rsidR="00E57F3A" w:rsidRDefault="1D314475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 w:rsidRPr="1D314475">
        <w:rPr>
          <w:rFonts w:ascii="Calibri" w:hAnsi="Calibri" w:cs="Arial"/>
          <w:sz w:val="22"/>
          <w:szCs w:val="22"/>
          <w:u w:val="single"/>
        </w:rPr>
        <w:t>Members</w:t>
      </w:r>
      <w:r w:rsidR="0021782F">
        <w:rPr>
          <w:rFonts w:ascii="Calibri" w:hAnsi="Calibri" w:cs="Arial"/>
          <w:sz w:val="22"/>
          <w:szCs w:val="22"/>
          <w:u w:val="single"/>
        </w:rPr>
        <w:t xml:space="preserve"> Excused</w:t>
      </w:r>
      <w:r w:rsidRPr="1D314475">
        <w:rPr>
          <w:rFonts w:ascii="Calibri" w:hAnsi="Calibri" w:cs="Arial"/>
          <w:sz w:val="22"/>
          <w:szCs w:val="22"/>
          <w:u w:val="single"/>
        </w:rPr>
        <w:t xml:space="preserve"> Absen</w:t>
      </w:r>
      <w:r w:rsidR="0021782F">
        <w:rPr>
          <w:rFonts w:ascii="Calibri" w:hAnsi="Calibri" w:cs="Arial"/>
          <w:sz w:val="22"/>
          <w:szCs w:val="22"/>
          <w:u w:val="single"/>
        </w:rPr>
        <w:t>ce</w:t>
      </w:r>
      <w:r w:rsidRPr="1D314475">
        <w:rPr>
          <w:rFonts w:ascii="Calibri" w:hAnsi="Calibri" w:cs="Arial"/>
          <w:sz w:val="22"/>
          <w:szCs w:val="22"/>
          <w:u w:val="single"/>
        </w:rPr>
        <w:t>:</w:t>
      </w:r>
      <w:r w:rsidRPr="1D314475">
        <w:rPr>
          <w:rFonts w:ascii="Calibri" w:hAnsi="Calibri" w:cs="Arial"/>
          <w:sz w:val="22"/>
          <w:szCs w:val="22"/>
        </w:rPr>
        <w:t xml:space="preserve"> </w:t>
      </w:r>
      <w:r w:rsidR="00662977" w:rsidRPr="1D314475">
        <w:rPr>
          <w:rFonts w:ascii="Calibri" w:hAnsi="Calibri" w:cs="Calibri"/>
          <w:sz w:val="22"/>
          <w:szCs w:val="22"/>
        </w:rPr>
        <w:t>Laura Dunbar</w:t>
      </w:r>
    </w:p>
    <w:p w14:paraId="2D5967C9" w14:textId="59EF6714" w:rsid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614BE7D5" w14:textId="5471AF5B" w:rsidR="00C062E3" w:rsidRDefault="007165E7" w:rsidP="00662977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  <w:r w:rsidRPr="006B1D1B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A4A94">
        <w:rPr>
          <w:rFonts w:ascii="Calibri" w:hAnsi="Calibri" w:cs="Arial"/>
          <w:sz w:val="22"/>
          <w:szCs w:val="22"/>
        </w:rPr>
        <w:t>Melissa Safford</w:t>
      </w:r>
      <w:r w:rsidR="00B012E0">
        <w:rPr>
          <w:rFonts w:ascii="Calibri" w:hAnsi="Calibri" w:cs="Arial"/>
          <w:sz w:val="22"/>
          <w:szCs w:val="22"/>
        </w:rPr>
        <w:t>, Nancy Diller</w:t>
      </w:r>
    </w:p>
    <w:p w14:paraId="1D2C3853" w14:textId="44798059" w:rsidR="00662977" w:rsidRDefault="00662977" w:rsidP="00662977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043DB904" w14:textId="77777777" w:rsidR="00662977" w:rsidRPr="007165E7" w:rsidRDefault="00662977" w:rsidP="00662977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722"/>
        <w:gridCol w:w="3544"/>
      </w:tblGrid>
      <w:tr w:rsidR="0073369C" w:rsidRPr="00783B86" w14:paraId="12B850F6" w14:textId="77777777" w:rsidTr="1D314475">
        <w:trPr>
          <w:trHeight w:val="430"/>
        </w:trPr>
        <w:tc>
          <w:tcPr>
            <w:tcW w:w="37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31849B" w:themeFill="accent5" w:themeFillShade="BF"/>
          </w:tcPr>
          <w:p w14:paraId="784B3F9E" w14:textId="77777777" w:rsidR="0073369C" w:rsidRPr="00BA4A94" w:rsidRDefault="0073369C" w:rsidP="0089240B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  <w:bCs/>
                <w:color w:val="FFFFFF"/>
              </w:rPr>
            </w:pPr>
            <w:r w:rsidRPr="00BA4A94">
              <w:rPr>
                <w:rFonts w:ascii="Times New Roman" w:hAnsi="Times New Roman"/>
                <w:b/>
                <w:bCs/>
                <w:color w:val="FFFFFF"/>
              </w:rPr>
              <w:t>Topic</w:t>
            </w:r>
          </w:p>
        </w:tc>
        <w:tc>
          <w:tcPr>
            <w:tcW w:w="67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31849B" w:themeFill="accent5" w:themeFillShade="BF"/>
          </w:tcPr>
          <w:p w14:paraId="79D48356" w14:textId="77777777" w:rsidR="0073369C" w:rsidRPr="00BA4A94" w:rsidRDefault="0073369C" w:rsidP="0073369C">
            <w:pPr>
              <w:rPr>
                <w:rFonts w:ascii="Times New Roman" w:hAnsi="Times New Roman"/>
                <w:b/>
                <w:bCs/>
                <w:color w:val="FFFFFF"/>
              </w:rPr>
            </w:pPr>
            <w:r w:rsidRPr="00BA4A94">
              <w:rPr>
                <w:rFonts w:ascii="Times New Roman" w:hAnsi="Times New Roman"/>
                <w:b/>
                <w:bCs/>
                <w:color w:val="FFFFFF"/>
              </w:rPr>
              <w:t>Comments</w:t>
            </w:r>
            <w:r w:rsidR="005F5684" w:rsidRPr="00BA4A94">
              <w:rPr>
                <w:rFonts w:ascii="Times New Roman" w:hAnsi="Times New Roman"/>
                <w:b/>
                <w:bCs/>
                <w:color w:val="FFFFFF"/>
              </w:rPr>
              <w:t>/Discussion</w:t>
            </w:r>
          </w:p>
        </w:tc>
        <w:tc>
          <w:tcPr>
            <w:tcW w:w="35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1D314475">
        <w:trPr>
          <w:trHeight w:val="432"/>
        </w:trPr>
        <w:tc>
          <w:tcPr>
            <w:tcW w:w="3798" w:type="dxa"/>
            <w:tcBorders>
              <w:top w:val="single" w:sz="24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44069E5F" w14:textId="77777777" w:rsidR="003B03C3" w:rsidRPr="00BA4A94" w:rsidRDefault="000F1F2B" w:rsidP="001D5BE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BA4A94">
              <w:rPr>
                <w:rFonts w:ascii="Times New Roman" w:hAnsi="Times New Roman"/>
                <w:b/>
              </w:rPr>
              <w:t>Approval of Minutes</w:t>
            </w:r>
          </w:p>
        </w:tc>
        <w:tc>
          <w:tcPr>
            <w:tcW w:w="6722" w:type="dxa"/>
            <w:tcBorders>
              <w:top w:val="single" w:sz="24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4CF67468" w14:textId="6215E6AB" w:rsidR="003B03C3" w:rsidRPr="00BA4A94" w:rsidRDefault="00DE448B" w:rsidP="009B42B0">
            <w:pPr>
              <w:rPr>
                <w:rFonts w:ascii="Times New Roman" w:hAnsi="Times New Roman"/>
              </w:rPr>
            </w:pPr>
            <w:r w:rsidRPr="00BA4A94">
              <w:rPr>
                <w:rFonts w:ascii="Times New Roman" w:hAnsi="Times New Roman"/>
              </w:rPr>
              <w:t xml:space="preserve">Review of minutes from </w:t>
            </w:r>
            <w:r w:rsidR="004C0C12" w:rsidRPr="00BA4A94">
              <w:rPr>
                <w:rFonts w:ascii="Times New Roman" w:hAnsi="Times New Roman"/>
              </w:rPr>
              <w:t>November</w:t>
            </w:r>
            <w:r w:rsidR="00BA4A94" w:rsidRPr="00BA4A94">
              <w:rPr>
                <w:rFonts w:ascii="Times New Roman" w:hAnsi="Times New Roman"/>
              </w:rPr>
              <w:t xml:space="preserve"> 6</w:t>
            </w:r>
            <w:r w:rsidRPr="00BA4A94">
              <w:rPr>
                <w:rFonts w:ascii="Times New Roman" w:hAnsi="Times New Roman"/>
              </w:rPr>
              <w:t>, 20</w:t>
            </w:r>
            <w:r w:rsidR="00256947" w:rsidRPr="00BA4A94">
              <w:rPr>
                <w:rFonts w:ascii="Times New Roman" w:hAnsi="Times New Roman"/>
              </w:rPr>
              <w:t>20</w:t>
            </w:r>
            <w:r w:rsidRPr="00BA4A94">
              <w:rPr>
                <w:rFonts w:ascii="Times New Roman" w:hAnsi="Times New Roman"/>
              </w:rPr>
              <w:t>; approved</w:t>
            </w:r>
          </w:p>
        </w:tc>
        <w:tc>
          <w:tcPr>
            <w:tcW w:w="3544" w:type="dxa"/>
            <w:tcBorders>
              <w:top w:val="single" w:sz="24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25DCA814" w14:textId="61EBAD08" w:rsidR="003B03C3" w:rsidRPr="00506C33" w:rsidRDefault="003B03C3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5F2DF19" w14:textId="77777777" w:rsidTr="1D314475">
        <w:trPr>
          <w:trHeight w:val="378"/>
        </w:trPr>
        <w:tc>
          <w:tcPr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6AD91C8C" w14:textId="34BEFD09" w:rsidR="007E38C8" w:rsidRPr="000D7EB2" w:rsidRDefault="007E38C8" w:rsidP="001D5BE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0D7EB2">
              <w:rPr>
                <w:rFonts w:ascii="Times New Roman" w:hAnsi="Times New Roman"/>
                <w:b/>
              </w:rPr>
              <w:t>Old Business</w:t>
            </w:r>
          </w:p>
          <w:p w14:paraId="3D0A8CF1" w14:textId="32007AA2" w:rsidR="00F81B3D" w:rsidRPr="000D7EB2" w:rsidRDefault="00BA4A94" w:rsidP="1D314475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</w:rPr>
            </w:pPr>
            <w:r w:rsidRPr="000D7EB2">
              <w:rPr>
                <w:rFonts w:ascii="Times New Roman" w:hAnsi="Times New Roman"/>
                <w:b/>
                <w:bCs/>
              </w:rPr>
              <w:t>Review the AGP Proposal</w:t>
            </w: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1460E5B6" w14:textId="2E7DBE4C" w:rsidR="00BA4A94" w:rsidRPr="00BA4A94" w:rsidRDefault="00BA4A94" w:rsidP="00BA4A9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BA4A94">
              <w:rPr>
                <w:rFonts w:ascii="Times New Roman" w:hAnsi="Times New Roman"/>
              </w:rPr>
              <w:t xml:space="preserve">Introduction of SGA students’ representatives Jessica Liberty and Kristen </w:t>
            </w:r>
            <w:proofErr w:type="spellStart"/>
            <w:r w:rsidR="00B012E0">
              <w:rPr>
                <w:rFonts w:ascii="Times New Roman" w:hAnsi="Times New Roman"/>
              </w:rPr>
              <w:t>G</w:t>
            </w:r>
            <w:r w:rsidRPr="00BA4A94">
              <w:rPr>
                <w:rFonts w:ascii="Times New Roman" w:hAnsi="Times New Roman"/>
              </w:rPr>
              <w:t>ielenfeldt</w:t>
            </w:r>
            <w:proofErr w:type="spellEnd"/>
            <w:r w:rsidRPr="00BA4A94">
              <w:rPr>
                <w:rFonts w:ascii="Times New Roman" w:hAnsi="Times New Roman"/>
              </w:rPr>
              <w:t xml:space="preserve"> to provide students’ perspective</w:t>
            </w:r>
            <w:r w:rsidR="005F382F">
              <w:rPr>
                <w:rFonts w:ascii="Times New Roman" w:hAnsi="Times New Roman"/>
              </w:rPr>
              <w:t>s</w:t>
            </w:r>
            <w:r w:rsidRPr="00BA4A94">
              <w:rPr>
                <w:rFonts w:ascii="Times New Roman" w:hAnsi="Times New Roman"/>
              </w:rPr>
              <w:t xml:space="preserve"> in the review of AGP proposal.</w:t>
            </w:r>
          </w:p>
          <w:p w14:paraId="58CDC274" w14:textId="54555606" w:rsidR="00B62D85" w:rsidRPr="00BA4A94" w:rsidRDefault="00B62D85" w:rsidP="1D314475">
            <w:pPr>
              <w:widowControl w:val="0"/>
              <w:spacing w:after="58"/>
              <w:rPr>
                <w:rFonts w:ascii="Times New Roman" w:hAnsi="Times New Roman"/>
                <w:snapToGrid w:val="0"/>
                <w:color w:val="FF0000"/>
              </w:rPr>
            </w:pP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484389FD" w14:textId="5AF57600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980F5AF" w14:textId="2BEA5FDA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8A9D23A" w14:textId="406090FE" w:rsidR="00B62D85" w:rsidRPr="00506C33" w:rsidRDefault="1D314475" w:rsidP="004C0C12">
            <w:pPr>
              <w:pStyle w:val="ListParagrap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D31447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D7EB2" w:rsidRPr="00506C33" w14:paraId="222CD4C8" w14:textId="77777777" w:rsidTr="1D314475">
        <w:trPr>
          <w:trHeight w:val="378"/>
        </w:trPr>
        <w:tc>
          <w:tcPr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2CEBD05A" w14:textId="4B23978E" w:rsidR="000D7EB2" w:rsidRPr="00093798" w:rsidRDefault="000D7EB2" w:rsidP="000D7EB2">
            <w:pPr>
              <w:rPr>
                <w:rFonts w:ascii="Times New Roman" w:hAnsi="Times New Roman"/>
                <w:b/>
                <w:bCs/>
              </w:rPr>
            </w:pPr>
            <w:r w:rsidRPr="00093798">
              <w:rPr>
                <w:rFonts w:ascii="Times New Roman" w:hAnsi="Times New Roman"/>
                <w:b/>
                <w:bCs/>
              </w:rPr>
              <w:t xml:space="preserve">Refresh the </w:t>
            </w:r>
            <w:r w:rsidR="005C3B35">
              <w:rPr>
                <w:rFonts w:ascii="Times New Roman" w:hAnsi="Times New Roman"/>
                <w:b/>
                <w:bCs/>
              </w:rPr>
              <w:t>P</w:t>
            </w:r>
            <w:r w:rsidRPr="00093798">
              <w:rPr>
                <w:rFonts w:ascii="Times New Roman" w:hAnsi="Times New Roman"/>
                <w:b/>
                <w:bCs/>
              </w:rPr>
              <w:t>urpose of EPC</w:t>
            </w:r>
          </w:p>
          <w:p w14:paraId="7B128EA4" w14:textId="77777777" w:rsidR="000D7EB2" w:rsidRPr="000D7EB2" w:rsidRDefault="000D7EB2" w:rsidP="001D5BE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6C0DC824" w14:textId="722C5B93" w:rsidR="000D7EB2" w:rsidRDefault="00662977" w:rsidP="000D7EB2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 revisits</w:t>
            </w:r>
            <w:r w:rsidR="000D7EB2">
              <w:rPr>
                <w:rFonts w:ascii="Times New Roman" w:hAnsi="Times New Roman"/>
              </w:rPr>
              <w:t xml:space="preserve"> the role of EPC in assisting the process of policy</w:t>
            </w:r>
            <w:r w:rsidR="005F382F">
              <w:rPr>
                <w:rFonts w:ascii="Times New Roman" w:hAnsi="Times New Roman"/>
              </w:rPr>
              <w:t xml:space="preserve"> </w:t>
            </w:r>
            <w:r w:rsidR="000D7EB2">
              <w:rPr>
                <w:rFonts w:ascii="Times New Roman" w:hAnsi="Times New Roman"/>
              </w:rPr>
              <w:t xml:space="preserve">making. </w:t>
            </w:r>
            <w:r>
              <w:rPr>
                <w:rFonts w:ascii="Times New Roman" w:hAnsi="Times New Roman"/>
              </w:rPr>
              <w:t>Emphasize</w:t>
            </w:r>
            <w:r w:rsidR="000D7EB2">
              <w:rPr>
                <w:rFonts w:ascii="Times New Roman" w:hAnsi="Times New Roman"/>
              </w:rPr>
              <w:t xml:space="preserve"> EPC does not make policy but provides recommendations, do</w:t>
            </w:r>
            <w:r w:rsidR="005F382F">
              <w:rPr>
                <w:rFonts w:ascii="Times New Roman" w:hAnsi="Times New Roman"/>
              </w:rPr>
              <w:t>es</w:t>
            </w:r>
            <w:r w:rsidR="000D7EB2">
              <w:rPr>
                <w:rFonts w:ascii="Times New Roman" w:hAnsi="Times New Roman"/>
              </w:rPr>
              <w:t xml:space="preserve"> the vetting,</w:t>
            </w:r>
            <w:r w:rsidR="005F382F">
              <w:rPr>
                <w:rFonts w:ascii="Times New Roman" w:hAnsi="Times New Roman"/>
              </w:rPr>
              <w:t xml:space="preserve"> and</w:t>
            </w:r>
            <w:r w:rsidR="000D7EB2">
              <w:rPr>
                <w:rFonts w:ascii="Times New Roman" w:hAnsi="Times New Roman"/>
              </w:rPr>
              <w:t xml:space="preserve"> make</w:t>
            </w:r>
            <w:r w:rsidR="005F382F">
              <w:rPr>
                <w:rFonts w:ascii="Times New Roman" w:hAnsi="Times New Roman"/>
              </w:rPr>
              <w:t>s</w:t>
            </w:r>
            <w:r w:rsidR="000D7EB2">
              <w:rPr>
                <w:rFonts w:ascii="Times New Roman" w:hAnsi="Times New Roman"/>
              </w:rPr>
              <w:t xml:space="preserve"> concessions on policy deliberations before moving to the</w:t>
            </w:r>
            <w:r w:rsidR="005C3B35">
              <w:rPr>
                <w:rFonts w:ascii="Times New Roman" w:hAnsi="Times New Roman"/>
              </w:rPr>
              <w:t xml:space="preserve"> faculty</w:t>
            </w:r>
            <w:r w:rsidR="000D7EB2">
              <w:rPr>
                <w:rFonts w:ascii="Times New Roman" w:hAnsi="Times New Roman"/>
              </w:rPr>
              <w:t xml:space="preserve"> senate t</w:t>
            </w:r>
            <w:r>
              <w:rPr>
                <w:rFonts w:ascii="Times New Roman" w:hAnsi="Times New Roman"/>
              </w:rPr>
              <w:t xml:space="preserve">hat </w:t>
            </w:r>
            <w:r w:rsidR="000D7EB2">
              <w:rPr>
                <w:rFonts w:ascii="Times New Roman" w:hAnsi="Times New Roman"/>
              </w:rPr>
              <w:t>make decisions and later to the Provost and President.</w:t>
            </w:r>
          </w:p>
          <w:p w14:paraId="11F73360" w14:textId="2BE470D2" w:rsidR="000D7EB2" w:rsidRPr="000D7EB2" w:rsidRDefault="000D7EB2" w:rsidP="000D7EB2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Mention the members in the EPC meeting who can and those who can</w:t>
            </w:r>
            <w:r w:rsidR="00662977">
              <w:rPr>
                <w:rFonts w:ascii="Times New Roman" w:hAnsi="Times New Roman"/>
              </w:rPr>
              <w:t>not</w:t>
            </w:r>
            <w:r>
              <w:rPr>
                <w:rFonts w:ascii="Times New Roman" w:hAnsi="Times New Roman"/>
              </w:rPr>
              <w:t xml:space="preserve"> vote.</w:t>
            </w: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537A9ED9" w14:textId="77777777" w:rsidR="000D7EB2" w:rsidRDefault="000D7EB2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D26B1" w:rsidRPr="00506C33" w14:paraId="0F86EAB3" w14:textId="77777777" w:rsidTr="1D314475">
        <w:trPr>
          <w:trHeight w:val="378"/>
        </w:trPr>
        <w:tc>
          <w:tcPr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3A87534F" w14:textId="476D16D0" w:rsidR="000D7EB2" w:rsidRPr="000D7EB2" w:rsidRDefault="000D7EB2" w:rsidP="1D314475">
            <w:pPr>
              <w:rPr>
                <w:rFonts w:ascii="Times New Roman" w:hAnsi="Times New Roman"/>
                <w:b/>
                <w:bCs/>
              </w:rPr>
            </w:pPr>
            <w:r w:rsidRPr="000D7EB2">
              <w:rPr>
                <w:rFonts w:ascii="Times New Roman" w:hAnsi="Times New Roman"/>
                <w:b/>
                <w:bCs/>
              </w:rPr>
              <w:t>New Business</w:t>
            </w:r>
          </w:p>
          <w:p w14:paraId="187E3247" w14:textId="79FD4DF6" w:rsidR="1D314475" w:rsidRPr="000D7EB2" w:rsidRDefault="0049132B" w:rsidP="1D31447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Essential Worker </w:t>
            </w:r>
            <w:r w:rsidR="000D7EB2" w:rsidRPr="000D7EB2">
              <w:rPr>
                <w:rFonts w:ascii="Times New Roman" w:hAnsi="Times New Roman"/>
                <w:b/>
                <w:bCs/>
              </w:rPr>
              <w:t xml:space="preserve">Resolution: SUNY Cortland </w:t>
            </w:r>
            <w:r w:rsidR="00662977">
              <w:rPr>
                <w:rFonts w:ascii="Times New Roman" w:hAnsi="Times New Roman"/>
                <w:b/>
                <w:bCs/>
              </w:rPr>
              <w:t>C</w:t>
            </w:r>
            <w:r w:rsidR="000D7EB2" w:rsidRPr="000D7EB2">
              <w:rPr>
                <w:rFonts w:ascii="Times New Roman" w:hAnsi="Times New Roman"/>
                <w:b/>
                <w:bCs/>
              </w:rPr>
              <w:t>ontrol of COVID-19</w:t>
            </w: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06761D14" w14:textId="57A9EAAF" w:rsidR="1D314475" w:rsidRPr="00BA4A94" w:rsidRDefault="1D314475" w:rsidP="1D314475">
            <w:pPr>
              <w:rPr>
                <w:rFonts w:ascii="Times New Roman" w:hAnsi="Times New Roman"/>
                <w:color w:val="FF0000"/>
              </w:rPr>
            </w:pPr>
          </w:p>
          <w:p w14:paraId="00CDEF7A" w14:textId="70D8C792" w:rsidR="000D7EB2" w:rsidRPr="000D7EB2" w:rsidRDefault="000D7EB2" w:rsidP="000D7EB2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0D7EB2">
              <w:rPr>
                <w:rFonts w:ascii="Times New Roman" w:hAnsi="Times New Roman"/>
              </w:rPr>
              <w:t>Discuss</w:t>
            </w:r>
            <w:r w:rsidR="00662977">
              <w:rPr>
                <w:rFonts w:ascii="Times New Roman" w:hAnsi="Times New Roman"/>
              </w:rPr>
              <w:t>ion o</w:t>
            </w:r>
            <w:r w:rsidR="005C3B35">
              <w:rPr>
                <w:rFonts w:ascii="Times New Roman" w:hAnsi="Times New Roman"/>
              </w:rPr>
              <w:t>f</w:t>
            </w:r>
            <w:r w:rsidRPr="000D7EB2">
              <w:rPr>
                <w:rFonts w:ascii="Times New Roman" w:hAnsi="Times New Roman"/>
              </w:rPr>
              <w:t xml:space="preserve"> final submission of resolution</w:t>
            </w:r>
            <w:r w:rsidR="0049132B">
              <w:rPr>
                <w:rFonts w:ascii="Times New Roman" w:hAnsi="Times New Roman"/>
              </w:rPr>
              <w:t xml:space="preserve"> document</w:t>
            </w:r>
            <w:r w:rsidRPr="000D7EB2">
              <w:rPr>
                <w:rFonts w:ascii="Times New Roman" w:hAnsi="Times New Roman"/>
              </w:rPr>
              <w:t xml:space="preserve"> taken to the senate. </w:t>
            </w:r>
          </w:p>
          <w:p w14:paraId="7768D011" w14:textId="773EC0EA" w:rsidR="000D7EB2" w:rsidRPr="000D7EB2" w:rsidRDefault="005C3B35" w:rsidP="000D7EB2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Explanation</w:t>
            </w:r>
            <w:r w:rsidR="000D7EB2" w:rsidRPr="000D7EB2">
              <w:rPr>
                <w:rFonts w:ascii="Times New Roman" w:hAnsi="Times New Roman"/>
              </w:rPr>
              <w:t xml:space="preserve"> </w:t>
            </w:r>
            <w:r w:rsidR="00C06948">
              <w:rPr>
                <w:rFonts w:ascii="Times New Roman" w:hAnsi="Times New Roman"/>
              </w:rPr>
              <w:t>of the resolution document that had agreeable</w:t>
            </w:r>
            <w:r w:rsidR="000D7EB2" w:rsidRPr="000D7EB2">
              <w:rPr>
                <w:rFonts w:ascii="Times New Roman" w:hAnsi="Times New Roman"/>
              </w:rPr>
              <w:t xml:space="preserve"> content </w:t>
            </w:r>
            <w:r w:rsidR="00C06948">
              <w:rPr>
                <w:rFonts w:ascii="Times New Roman" w:hAnsi="Times New Roman"/>
              </w:rPr>
              <w:t>but with some</w:t>
            </w:r>
            <w:r w:rsidR="000D7EB2" w:rsidRPr="000D7EB2">
              <w:rPr>
                <w:rFonts w:ascii="Times New Roman" w:hAnsi="Times New Roman"/>
              </w:rPr>
              <w:t xml:space="preserve"> factually incorrect and alarmist statements, for example, “</w:t>
            </w:r>
            <w:r w:rsidR="00662977">
              <w:rPr>
                <w:rFonts w:ascii="Times New Roman" w:hAnsi="Times New Roman"/>
              </w:rPr>
              <w:t>…</w:t>
            </w:r>
            <w:r w:rsidR="000D7EB2" w:rsidRPr="000D7EB2">
              <w:rPr>
                <w:rFonts w:ascii="Times New Roman" w:hAnsi="Times New Roman"/>
              </w:rPr>
              <w:t xml:space="preserve">subjected to dangerous conditions.” Emphasize the importance of providing facts and </w:t>
            </w:r>
            <w:r w:rsidR="00662977">
              <w:rPr>
                <w:rFonts w:ascii="Times New Roman" w:hAnsi="Times New Roman"/>
              </w:rPr>
              <w:t xml:space="preserve">to </w:t>
            </w:r>
            <w:r w:rsidR="000D7EB2" w:rsidRPr="000D7EB2">
              <w:rPr>
                <w:rFonts w:ascii="Times New Roman" w:hAnsi="Times New Roman"/>
              </w:rPr>
              <w:t>focus on legitimate concerns.</w:t>
            </w:r>
          </w:p>
          <w:p w14:paraId="0B031796" w14:textId="4EC155D0" w:rsidR="000D7EB2" w:rsidRPr="000D7EB2" w:rsidRDefault="000D7EB2" w:rsidP="000D7EB2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0D7EB2">
              <w:rPr>
                <w:rFonts w:ascii="Times New Roman" w:hAnsi="Times New Roman"/>
              </w:rPr>
              <w:lastRenderedPageBreak/>
              <w:t>Note that no transmission has been documented so far in the classrooms or office settings and this assertion can be confirmed later but complaints of student wearing masks i</w:t>
            </w:r>
            <w:r>
              <w:rPr>
                <w:rFonts w:ascii="Times New Roman" w:hAnsi="Times New Roman"/>
              </w:rPr>
              <w:t>mproperly</w:t>
            </w:r>
            <w:r w:rsidRPr="000D7EB2">
              <w:rPr>
                <w:rFonts w:ascii="Times New Roman" w:hAnsi="Times New Roman"/>
              </w:rPr>
              <w:t xml:space="preserve"> have been raised. </w:t>
            </w:r>
          </w:p>
          <w:p w14:paraId="10AC9ACE" w14:textId="6D7F5C45" w:rsidR="000D7EB2" w:rsidRPr="000D7EB2" w:rsidRDefault="000D7EB2" w:rsidP="000D7EB2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0D7EB2">
              <w:rPr>
                <w:rFonts w:ascii="Times New Roman" w:hAnsi="Times New Roman"/>
              </w:rPr>
              <w:t>Highlight</w:t>
            </w:r>
            <w:r w:rsidR="005F382F">
              <w:rPr>
                <w:rFonts w:ascii="Times New Roman" w:hAnsi="Times New Roman"/>
              </w:rPr>
              <w:t xml:space="preserve"> </w:t>
            </w:r>
            <w:r w:rsidRPr="000D7EB2">
              <w:rPr>
                <w:rFonts w:ascii="Times New Roman" w:hAnsi="Times New Roman"/>
              </w:rPr>
              <w:t>students</w:t>
            </w:r>
            <w:r w:rsidR="00662977">
              <w:rPr>
                <w:rFonts w:ascii="Times New Roman" w:hAnsi="Times New Roman"/>
              </w:rPr>
              <w:t>’</w:t>
            </w:r>
            <w:r w:rsidRPr="000D7EB2">
              <w:rPr>
                <w:rFonts w:ascii="Times New Roman" w:hAnsi="Times New Roman"/>
              </w:rPr>
              <w:t xml:space="preserve"> choices o</w:t>
            </w:r>
            <w:r w:rsidR="00662977">
              <w:rPr>
                <w:rFonts w:ascii="Times New Roman" w:hAnsi="Times New Roman"/>
              </w:rPr>
              <w:t>n</w:t>
            </w:r>
            <w:r w:rsidRPr="000D7EB2">
              <w:rPr>
                <w:rFonts w:ascii="Times New Roman" w:hAnsi="Times New Roman"/>
              </w:rPr>
              <w:t xml:space="preserve"> how to take their classes and </w:t>
            </w:r>
            <w:r w:rsidR="00464F97">
              <w:rPr>
                <w:rFonts w:ascii="Times New Roman" w:hAnsi="Times New Roman"/>
              </w:rPr>
              <w:t>confirmed</w:t>
            </w:r>
            <w:r w:rsidR="00662977">
              <w:rPr>
                <w:rFonts w:ascii="Times New Roman" w:hAnsi="Times New Roman"/>
              </w:rPr>
              <w:t xml:space="preserve"> </w:t>
            </w:r>
            <w:r w:rsidRPr="000D7EB2">
              <w:rPr>
                <w:rFonts w:ascii="Times New Roman" w:hAnsi="Times New Roman"/>
              </w:rPr>
              <w:t>more classes will be online in the Spring 2021 semester.</w:t>
            </w:r>
          </w:p>
          <w:p w14:paraId="48BB84FC" w14:textId="56ECE062" w:rsidR="000D7EB2" w:rsidRPr="000D7EB2" w:rsidRDefault="000D7EB2" w:rsidP="000D7EB2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0D7EB2">
              <w:rPr>
                <w:rFonts w:ascii="Times New Roman" w:hAnsi="Times New Roman"/>
              </w:rPr>
              <w:t>Discuss</w:t>
            </w:r>
            <w:r w:rsidR="00662977">
              <w:rPr>
                <w:rFonts w:ascii="Times New Roman" w:hAnsi="Times New Roman"/>
              </w:rPr>
              <w:t>ion o</w:t>
            </w:r>
            <w:r w:rsidR="005C3B35"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 xml:space="preserve"> the resolutions</w:t>
            </w:r>
            <w:r w:rsidRPr="000D7EB2">
              <w:rPr>
                <w:rFonts w:ascii="Times New Roman" w:hAnsi="Times New Roman"/>
              </w:rPr>
              <w:t xml:space="preserve"> </w:t>
            </w:r>
            <w:r w:rsidR="00662977">
              <w:rPr>
                <w:rFonts w:ascii="Times New Roman" w:hAnsi="Times New Roman"/>
              </w:rPr>
              <w:t xml:space="preserve">to be </w:t>
            </w:r>
            <w:r w:rsidRPr="000D7EB2">
              <w:rPr>
                <w:rFonts w:ascii="Times New Roman" w:hAnsi="Times New Roman"/>
              </w:rPr>
              <w:t xml:space="preserve">passed through faculty senate </w:t>
            </w:r>
            <w:r w:rsidR="005F382F">
              <w:rPr>
                <w:rFonts w:ascii="Times New Roman" w:hAnsi="Times New Roman"/>
              </w:rPr>
              <w:t xml:space="preserve">to </w:t>
            </w:r>
            <w:r w:rsidRPr="000D7EB2">
              <w:rPr>
                <w:rFonts w:ascii="Times New Roman" w:hAnsi="Times New Roman"/>
              </w:rPr>
              <w:t xml:space="preserve">allow more faculty engagement in dialogue </w:t>
            </w:r>
          </w:p>
          <w:p w14:paraId="1162B3AD" w14:textId="0F4632CD" w:rsidR="1D314475" w:rsidRPr="00BA4A94" w:rsidRDefault="1D314475" w:rsidP="1D314475">
            <w:pPr>
              <w:spacing w:after="58"/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0B8911F7" w14:textId="1A064D62" w:rsidR="003130F5" w:rsidRPr="000D7EB2" w:rsidRDefault="003130F5" w:rsidP="1D314475">
            <w:pPr>
              <w:ind w:left="360"/>
              <w:rPr>
                <w:rFonts w:ascii="Times New Roman" w:hAnsi="Times New Roman"/>
                <w:b/>
                <w:bCs/>
              </w:rPr>
            </w:pPr>
          </w:p>
          <w:p w14:paraId="614F1654" w14:textId="77777777" w:rsidR="000D7EB2" w:rsidRPr="000D7EB2" w:rsidRDefault="000D7EB2" w:rsidP="000D7EB2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b/>
                <w:bCs/>
              </w:rPr>
            </w:pPr>
            <w:r w:rsidRPr="000D7EB2">
              <w:rPr>
                <w:rFonts w:ascii="Times New Roman" w:hAnsi="Times New Roman"/>
                <w:b/>
                <w:bCs/>
              </w:rPr>
              <w:t>Chris to vote for the EPC in the senate meeting</w:t>
            </w:r>
          </w:p>
          <w:p w14:paraId="32188D3A" w14:textId="77777777" w:rsidR="000D7EB2" w:rsidRPr="000D7EB2" w:rsidRDefault="000D7EB2" w:rsidP="000D7EB2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b/>
                <w:bCs/>
              </w:rPr>
            </w:pPr>
            <w:r w:rsidRPr="000D7EB2">
              <w:rPr>
                <w:rFonts w:ascii="Times New Roman" w:hAnsi="Times New Roman"/>
                <w:b/>
                <w:bCs/>
              </w:rPr>
              <w:t>Confirmation of transmission of COVID-19 occurring in classrooms or offices</w:t>
            </w:r>
          </w:p>
          <w:p w14:paraId="4C345AA9" w14:textId="72A5B587" w:rsidR="003130F5" w:rsidRPr="000D7EB2" w:rsidRDefault="003130F5" w:rsidP="1D314475">
            <w:pPr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ED26B1" w:rsidRPr="00506C33" w14:paraId="3CC96BAE" w14:textId="77777777" w:rsidTr="1D314475">
        <w:trPr>
          <w:trHeight w:val="435"/>
        </w:trPr>
        <w:tc>
          <w:tcPr>
            <w:tcW w:w="379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3DF0DD78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672E132" w14:textId="77777777" w:rsidR="000D7EB2" w:rsidRDefault="000D7EB2" w:rsidP="000D7EB2">
            <w:pPr>
              <w:rPr>
                <w:rFonts w:ascii="Times New Roman" w:hAnsi="Times New Roman"/>
                <w:b/>
                <w:bCs/>
              </w:rPr>
            </w:pPr>
            <w:r w:rsidRPr="00093798">
              <w:rPr>
                <w:rFonts w:ascii="Times New Roman" w:hAnsi="Times New Roman"/>
                <w:b/>
                <w:bCs/>
              </w:rPr>
              <w:t>Review the AGP Proposal</w:t>
            </w:r>
            <w:r>
              <w:rPr>
                <w:rFonts w:ascii="Times New Roman" w:hAnsi="Times New Roman"/>
                <w:b/>
                <w:bCs/>
              </w:rPr>
              <w:t>: Accountability Side by Side</w:t>
            </w:r>
          </w:p>
          <w:p w14:paraId="0989DF0B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E824F81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060BD30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7724C3A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EE291A4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9C724C7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84222E6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34485FF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429147B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1E22C40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B20B93E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D2F8471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F872813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6A57B54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2FB0BED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39DFCE5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A5F7582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0BC9CB8" w14:textId="77777777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0173462" w14:textId="111D71D1" w:rsidR="1D314475" w:rsidRDefault="1D314475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328F7A5C" w14:textId="32B5D985" w:rsidR="1D314475" w:rsidRPr="00BA4A94" w:rsidRDefault="1D314475" w:rsidP="1D314475">
            <w:pPr>
              <w:rPr>
                <w:rFonts w:ascii="Times New Roman" w:hAnsi="Times New Roman"/>
              </w:rPr>
            </w:pPr>
          </w:p>
          <w:p w14:paraId="0B291F3D" w14:textId="043C3DD2" w:rsidR="000D7EB2" w:rsidRPr="000D7EB2" w:rsidRDefault="000D7EB2" w:rsidP="000D7EB2">
            <w:pPr>
              <w:pStyle w:val="ListParagraph"/>
              <w:numPr>
                <w:ilvl w:val="0"/>
                <w:numId w:val="32"/>
              </w:numPr>
              <w:spacing w:line="259" w:lineRule="auto"/>
              <w:rPr>
                <w:rFonts w:ascii="Times New Roman" w:hAnsi="Times New Roman"/>
                <w:b/>
                <w:bCs/>
              </w:rPr>
            </w:pPr>
            <w:r w:rsidRPr="000D7EB2">
              <w:rPr>
                <w:rFonts w:ascii="Times New Roman" w:hAnsi="Times New Roman"/>
              </w:rPr>
              <w:t>Discuss</w:t>
            </w:r>
            <w:r w:rsidR="00662977">
              <w:rPr>
                <w:rFonts w:ascii="Times New Roman" w:hAnsi="Times New Roman"/>
              </w:rPr>
              <w:t>ion o</w:t>
            </w:r>
            <w:r w:rsidR="005C3B35">
              <w:rPr>
                <w:rFonts w:ascii="Times New Roman" w:hAnsi="Times New Roman"/>
              </w:rPr>
              <w:t>f</w:t>
            </w:r>
            <w:r w:rsidRPr="000D7EB2">
              <w:rPr>
                <w:rFonts w:ascii="Times New Roman" w:hAnsi="Times New Roman"/>
              </w:rPr>
              <w:t xml:space="preserve"> changes to AGT as a significant process that has been ongoing for the last two years. </w:t>
            </w:r>
          </w:p>
          <w:p w14:paraId="43A013D1" w14:textId="2D3B73EB" w:rsidR="000D7EB2" w:rsidRDefault="000D7EB2" w:rsidP="000D7EB2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Maintain</w:t>
            </w:r>
            <w:r w:rsidRPr="00093798">
              <w:rPr>
                <w:rFonts w:ascii="Times New Roman" w:hAnsi="Times New Roman"/>
              </w:rPr>
              <w:t xml:space="preserve"> all processing times </w:t>
            </w:r>
            <w:r>
              <w:rPr>
                <w:rFonts w:ascii="Times New Roman" w:hAnsi="Times New Roman"/>
              </w:rPr>
              <w:t xml:space="preserve">to </w:t>
            </w:r>
            <w:r w:rsidRPr="00093798">
              <w:rPr>
                <w:rFonts w:ascii="Times New Roman" w:hAnsi="Times New Roman"/>
              </w:rPr>
              <w:t xml:space="preserve">be changed to </w:t>
            </w:r>
            <w:r w:rsidR="00FC2D23">
              <w:rPr>
                <w:rFonts w:ascii="Times New Roman" w:hAnsi="Times New Roman"/>
              </w:rPr>
              <w:t>5</w:t>
            </w:r>
            <w:r w:rsidRPr="00093798">
              <w:rPr>
                <w:rFonts w:ascii="Times New Roman" w:hAnsi="Times New Roman"/>
              </w:rPr>
              <w:t xml:space="preserve"> days</w:t>
            </w:r>
            <w:r>
              <w:rPr>
                <w:rFonts w:ascii="Times New Roman" w:hAnsi="Times New Roman"/>
              </w:rPr>
              <w:t xml:space="preserve"> to avoid </w:t>
            </w:r>
            <w:r w:rsidR="00464F97">
              <w:rPr>
                <w:rFonts w:ascii="Times New Roman" w:hAnsi="Times New Roman"/>
              </w:rPr>
              <w:t>un</w:t>
            </w:r>
            <w:r>
              <w:rPr>
                <w:rFonts w:ascii="Times New Roman" w:hAnsi="Times New Roman"/>
              </w:rPr>
              <w:t xml:space="preserve">due stress </w:t>
            </w:r>
            <w:r w:rsidR="00464F97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</w:rPr>
              <w:t xml:space="preserve"> all involved in the process. The 5 </w:t>
            </w:r>
            <w:r w:rsidR="005F382F">
              <w:rPr>
                <w:rFonts w:ascii="Times New Roman" w:hAnsi="Times New Roman"/>
              </w:rPr>
              <w:t>days’</w:t>
            </w:r>
            <w:r>
              <w:rPr>
                <w:rFonts w:ascii="Times New Roman" w:hAnsi="Times New Roman"/>
              </w:rPr>
              <w:t xml:space="preserve"> timeline to be consistent for both students and faculty.</w:t>
            </w:r>
          </w:p>
          <w:p w14:paraId="6F251CA7" w14:textId="0862886B" w:rsidR="000D7EB2" w:rsidRDefault="000D7EB2" w:rsidP="000D7EB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SGA representative note</w:t>
            </w:r>
            <w:r w:rsidR="005F382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that preference for a shorter period </w:t>
            </w:r>
            <w:r w:rsidR="00FC2D23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s to avoid deterrence of students filing a complaint when they are almost completing the program and to avoid negative outcome</w:t>
            </w:r>
            <w:r w:rsidR="00FC2D23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for students. </w:t>
            </w:r>
          </w:p>
          <w:p w14:paraId="7DC929CD" w14:textId="6B514783" w:rsidR="000D7EB2" w:rsidRDefault="000D7EB2" w:rsidP="000D7EB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</w:t>
            </w:r>
            <w:r w:rsidR="00662977">
              <w:rPr>
                <w:rFonts w:ascii="Times New Roman" w:hAnsi="Times New Roman"/>
              </w:rPr>
              <w:t>ion o</w:t>
            </w:r>
            <w:r w:rsidR="0049132B"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 xml:space="preserve"> the 5 days</w:t>
            </w:r>
            <w:r w:rsidR="005F382F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 xml:space="preserve"> timeline </w:t>
            </w:r>
            <w:r w:rsidR="00FC2D23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s sufficient in allowing students to talk to advisor, be familiar with the process</w:t>
            </w:r>
            <w:r w:rsidR="00FC2D2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and give Support Staff adequate time to do their work effectively.</w:t>
            </w:r>
          </w:p>
          <w:p w14:paraId="2955967C" w14:textId="73CB14FF" w:rsidR="000D7EB2" w:rsidRDefault="000D7EB2" w:rsidP="000D7EB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Highlight </w:t>
            </w:r>
            <w:r w:rsidR="00662977">
              <w:rPr>
                <w:rFonts w:ascii="Times New Roman" w:hAnsi="Times New Roman"/>
              </w:rPr>
              <w:t xml:space="preserve">on </w:t>
            </w:r>
            <w:r>
              <w:rPr>
                <w:rFonts w:ascii="Times New Roman" w:hAnsi="Times New Roman"/>
              </w:rPr>
              <w:t>fairness in the process of making penalty in relation to the problem</w:t>
            </w:r>
            <w:r w:rsidR="00BE719D">
              <w:rPr>
                <w:rFonts w:ascii="Times New Roman" w:hAnsi="Times New Roman"/>
              </w:rPr>
              <w:t xml:space="preserve"> and maintain integrity of the process</w:t>
            </w:r>
            <w:r>
              <w:rPr>
                <w:rFonts w:ascii="Times New Roman" w:hAnsi="Times New Roman"/>
              </w:rPr>
              <w:t>.</w:t>
            </w:r>
          </w:p>
          <w:p w14:paraId="537AD402" w14:textId="7BAAD2D2" w:rsidR="000D7EB2" w:rsidRDefault="000D7EB2" w:rsidP="000D7EB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to have </w:t>
            </w:r>
            <w:r w:rsidRPr="00DA4519">
              <w:rPr>
                <w:rFonts w:ascii="Times New Roman" w:hAnsi="Times New Roman"/>
              </w:rPr>
              <w:t xml:space="preserve">“Emended” </w:t>
            </w:r>
            <w:r>
              <w:rPr>
                <w:rFonts w:ascii="Times New Roman" w:hAnsi="Times New Roman"/>
              </w:rPr>
              <w:t xml:space="preserve">than </w:t>
            </w:r>
            <w:r w:rsidRPr="00DA4519">
              <w:rPr>
                <w:rFonts w:ascii="Times New Roman" w:hAnsi="Times New Roman"/>
              </w:rPr>
              <w:t xml:space="preserve">“decreased” for adjustment of penalties; </w:t>
            </w:r>
            <w:r>
              <w:rPr>
                <w:rFonts w:ascii="Times New Roman" w:hAnsi="Times New Roman"/>
              </w:rPr>
              <w:t>reference to the</w:t>
            </w:r>
            <w:r w:rsidRPr="00DA4519">
              <w:rPr>
                <w:rFonts w:ascii="Times New Roman" w:hAnsi="Times New Roman"/>
              </w:rPr>
              <w:t xml:space="preserve"> Student Code of Conduct </w:t>
            </w:r>
            <w:r>
              <w:rPr>
                <w:rFonts w:ascii="Times New Roman" w:hAnsi="Times New Roman"/>
              </w:rPr>
              <w:t>that state</w:t>
            </w:r>
            <w:r w:rsidR="005F382F">
              <w:rPr>
                <w:rFonts w:ascii="Times New Roman" w:hAnsi="Times New Roman"/>
              </w:rPr>
              <w:t>s,</w:t>
            </w:r>
            <w:r>
              <w:rPr>
                <w:rFonts w:ascii="Times New Roman" w:hAnsi="Times New Roman"/>
              </w:rPr>
              <w:t xml:space="preserve"> “sanctions should only be reduced or increased if found to be grossly disproportionate to the gravity of the offence. Precedent for similar offences and/or the accused student’s prior disciplinary record.”</w:t>
            </w:r>
          </w:p>
          <w:p w14:paraId="2A243D13" w14:textId="77777777" w:rsidR="000D7EB2" w:rsidRPr="004A0655" w:rsidRDefault="000D7EB2" w:rsidP="000D7EB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similar wordings to maintain consistency with Student Code of Conduct document, maintain deadlines, and avoid arbitrary statements.</w:t>
            </w:r>
          </w:p>
          <w:p w14:paraId="074AA5FC" w14:textId="17BC710A" w:rsidR="0049132B" w:rsidRDefault="000D7EB2" w:rsidP="000D7EB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</w:rPr>
            </w:pPr>
            <w:r w:rsidRPr="001E38B8">
              <w:rPr>
                <w:rFonts w:ascii="Times New Roman" w:hAnsi="Times New Roman"/>
              </w:rPr>
              <w:lastRenderedPageBreak/>
              <w:t>Reference to 350.0</w:t>
            </w:r>
            <w:r w:rsidR="00662977">
              <w:rPr>
                <w:rFonts w:ascii="Times New Roman" w:hAnsi="Times New Roman"/>
              </w:rPr>
              <w:t>2</w:t>
            </w:r>
            <w:r w:rsidRPr="001E38B8">
              <w:rPr>
                <w:rFonts w:ascii="Times New Roman" w:hAnsi="Times New Roman"/>
              </w:rPr>
              <w:t xml:space="preserve"> and 350.0</w:t>
            </w:r>
            <w:r w:rsidR="00662977">
              <w:rPr>
                <w:rFonts w:ascii="Times New Roman" w:hAnsi="Times New Roman"/>
              </w:rPr>
              <w:t>3</w:t>
            </w:r>
            <w:r w:rsidRPr="001E38B8">
              <w:rPr>
                <w:rFonts w:ascii="Times New Roman" w:hAnsi="Times New Roman"/>
              </w:rPr>
              <w:t xml:space="preserve"> of </w:t>
            </w:r>
            <w:r w:rsidR="00662977">
              <w:rPr>
                <w:rFonts w:ascii="Times New Roman" w:hAnsi="Times New Roman"/>
              </w:rPr>
              <w:t>Original Handbook Text Final Document</w:t>
            </w:r>
            <w:r w:rsidR="005C3B35">
              <w:rPr>
                <w:rFonts w:ascii="Times New Roman" w:hAnsi="Times New Roman"/>
              </w:rPr>
              <w:t xml:space="preserve"> that address consulting with chair of the department and 5 days</w:t>
            </w:r>
            <w:r w:rsidR="006A0642">
              <w:rPr>
                <w:rFonts w:ascii="Times New Roman" w:hAnsi="Times New Roman"/>
              </w:rPr>
              <w:t>’</w:t>
            </w:r>
            <w:r w:rsidR="005C3B35">
              <w:rPr>
                <w:rFonts w:ascii="Times New Roman" w:hAnsi="Times New Roman"/>
              </w:rPr>
              <w:t xml:space="preserve"> timeline. </w:t>
            </w:r>
          </w:p>
          <w:p w14:paraId="4B47CE67" w14:textId="15C11C19" w:rsidR="000D7EB2" w:rsidRPr="001E38B8" w:rsidRDefault="005C3B35" w:rsidP="000D7EB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</w:t>
            </w:r>
            <w:r w:rsidR="00BE719D">
              <w:rPr>
                <w:rFonts w:ascii="Times New Roman" w:hAnsi="Times New Roman"/>
              </w:rPr>
              <w:t>procedur</w:t>
            </w:r>
            <w:r w:rsidR="0049132B">
              <w:rPr>
                <w:rFonts w:ascii="Times New Roman" w:hAnsi="Times New Roman"/>
              </w:rPr>
              <w:t>es</w:t>
            </w:r>
            <w:r w:rsidR="00BE719D">
              <w:rPr>
                <w:rFonts w:ascii="Times New Roman" w:hAnsi="Times New Roman"/>
              </w:rPr>
              <w:t xml:space="preserve"> require addressing the issue</w:t>
            </w:r>
            <w:r>
              <w:rPr>
                <w:rFonts w:ascii="Times New Roman" w:hAnsi="Times New Roman"/>
              </w:rPr>
              <w:t xml:space="preserve"> first</w:t>
            </w:r>
            <w:r w:rsidR="00BE719D">
              <w:rPr>
                <w:rFonts w:ascii="Times New Roman" w:hAnsi="Times New Roman"/>
              </w:rPr>
              <w:t xml:space="preserve"> with</w:t>
            </w:r>
            <w:r>
              <w:rPr>
                <w:rFonts w:ascii="Times New Roman" w:hAnsi="Times New Roman"/>
              </w:rPr>
              <w:t xml:space="preserve"> the</w:t>
            </w:r>
            <w:r w:rsidR="00BE719D">
              <w:rPr>
                <w:rFonts w:ascii="Times New Roman" w:hAnsi="Times New Roman"/>
              </w:rPr>
              <w:t xml:space="preserve"> instructor and </w:t>
            </w:r>
            <w:r>
              <w:rPr>
                <w:rFonts w:ascii="Times New Roman" w:hAnsi="Times New Roman"/>
              </w:rPr>
              <w:t xml:space="preserve">then the </w:t>
            </w:r>
            <w:r w:rsidR="00BE719D">
              <w:rPr>
                <w:rFonts w:ascii="Times New Roman" w:hAnsi="Times New Roman"/>
              </w:rPr>
              <w:t>chair of</w:t>
            </w:r>
            <w:r>
              <w:rPr>
                <w:rFonts w:ascii="Times New Roman" w:hAnsi="Times New Roman"/>
              </w:rPr>
              <w:t xml:space="preserve"> the</w:t>
            </w:r>
            <w:r w:rsidR="00BE719D">
              <w:rPr>
                <w:rFonts w:ascii="Times New Roman" w:hAnsi="Times New Roman"/>
              </w:rPr>
              <w:t xml:space="preserve"> department</w:t>
            </w:r>
            <w:r w:rsidR="000D7EB2" w:rsidRPr="001E38B8">
              <w:rPr>
                <w:rFonts w:ascii="Times New Roman" w:hAnsi="Times New Roman"/>
              </w:rPr>
              <w:t xml:space="preserve">. </w:t>
            </w:r>
            <w:r w:rsidR="00BE719D">
              <w:rPr>
                <w:rFonts w:ascii="Times New Roman" w:hAnsi="Times New Roman"/>
              </w:rPr>
              <w:t>Note</w:t>
            </w:r>
            <w:r w:rsidR="000D7EB2" w:rsidRPr="001E38B8">
              <w:rPr>
                <w:rFonts w:ascii="Times New Roman" w:hAnsi="Times New Roman"/>
              </w:rPr>
              <w:t xml:space="preserve"> </w:t>
            </w:r>
            <w:r w:rsidR="00464F97">
              <w:rPr>
                <w:rFonts w:ascii="Times New Roman" w:hAnsi="Times New Roman"/>
              </w:rPr>
              <w:t xml:space="preserve">that the </w:t>
            </w:r>
            <w:r w:rsidR="000D7EB2" w:rsidRPr="001E38B8">
              <w:rPr>
                <w:rFonts w:ascii="Times New Roman" w:hAnsi="Times New Roman"/>
              </w:rPr>
              <w:t xml:space="preserve">chair may have a better understanding of the issues and students have the option </w:t>
            </w:r>
            <w:r w:rsidR="00BE719D">
              <w:rPr>
                <w:rFonts w:ascii="Times New Roman" w:hAnsi="Times New Roman"/>
              </w:rPr>
              <w:t>for the next recourse</w:t>
            </w:r>
            <w:r w:rsidR="000D7EB2" w:rsidRPr="001E38B8">
              <w:rPr>
                <w:rFonts w:ascii="Times New Roman" w:hAnsi="Times New Roman"/>
              </w:rPr>
              <w:t xml:space="preserve"> if no resolution</w:t>
            </w:r>
            <w:r w:rsidR="00BE719D">
              <w:rPr>
                <w:rFonts w:ascii="Times New Roman" w:hAnsi="Times New Roman"/>
              </w:rPr>
              <w:t xml:space="preserve"> is met</w:t>
            </w:r>
            <w:r w:rsidR="000D7EB2" w:rsidRPr="001E38B8">
              <w:rPr>
                <w:rFonts w:ascii="Times New Roman" w:hAnsi="Times New Roman"/>
              </w:rPr>
              <w:t>.</w:t>
            </w:r>
          </w:p>
          <w:p w14:paraId="1CC630B8" w14:textId="241B059D" w:rsidR="000D7EB2" w:rsidRDefault="004F637A" w:rsidP="000D7EB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0D7EB2" w:rsidRPr="001E38B8">
              <w:rPr>
                <w:rFonts w:ascii="Times New Roman" w:hAnsi="Times New Roman"/>
              </w:rPr>
              <w:t xml:space="preserve">tudent representative </w:t>
            </w:r>
            <w:r>
              <w:rPr>
                <w:rFonts w:ascii="Times New Roman" w:hAnsi="Times New Roman"/>
              </w:rPr>
              <w:t>raise</w:t>
            </w:r>
            <w:r w:rsidR="00E718F6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 xml:space="preserve"> concerns </w:t>
            </w:r>
            <w:r w:rsidR="000D7EB2" w:rsidRPr="001E38B8">
              <w:rPr>
                <w:rFonts w:ascii="Times New Roman" w:hAnsi="Times New Roman"/>
              </w:rPr>
              <w:t>of going through the department</w:t>
            </w:r>
            <w:r w:rsidR="000D7EB2">
              <w:rPr>
                <w:rFonts w:ascii="Times New Roman" w:hAnsi="Times New Roman"/>
              </w:rPr>
              <w:t xml:space="preserve"> chair</w:t>
            </w:r>
            <w:r>
              <w:rPr>
                <w:rFonts w:ascii="Times New Roman" w:hAnsi="Times New Roman"/>
              </w:rPr>
              <w:t xml:space="preserve"> </w:t>
            </w:r>
            <w:r w:rsidR="006A0642">
              <w:rPr>
                <w:rFonts w:ascii="Times New Roman" w:hAnsi="Times New Roman"/>
              </w:rPr>
              <w:t>that</w:t>
            </w:r>
            <w:r>
              <w:rPr>
                <w:rFonts w:ascii="Times New Roman" w:hAnsi="Times New Roman"/>
              </w:rPr>
              <w:t xml:space="preserve"> </w:t>
            </w:r>
            <w:r w:rsidR="000D7EB2">
              <w:rPr>
                <w:rFonts w:ascii="Times New Roman" w:hAnsi="Times New Roman"/>
              </w:rPr>
              <w:t>includes lack of documentation of meetings and fear of</w:t>
            </w:r>
            <w:r w:rsidR="000D7EB2" w:rsidRPr="001E38B8">
              <w:rPr>
                <w:rFonts w:ascii="Times New Roman" w:hAnsi="Times New Roman"/>
              </w:rPr>
              <w:t xml:space="preserve"> </w:t>
            </w:r>
            <w:r w:rsidR="00BE719D">
              <w:rPr>
                <w:rFonts w:ascii="Times New Roman" w:hAnsi="Times New Roman"/>
              </w:rPr>
              <w:t xml:space="preserve">close </w:t>
            </w:r>
            <w:r w:rsidR="000D7EB2">
              <w:rPr>
                <w:rFonts w:ascii="Times New Roman" w:hAnsi="Times New Roman"/>
              </w:rPr>
              <w:t xml:space="preserve">relationship between the chair and the </w:t>
            </w:r>
            <w:r w:rsidR="00C06948">
              <w:rPr>
                <w:rFonts w:ascii="Times New Roman" w:hAnsi="Times New Roman"/>
              </w:rPr>
              <w:t>faculty member</w:t>
            </w:r>
            <w:r w:rsidR="000D7EB2">
              <w:rPr>
                <w:rFonts w:ascii="Times New Roman" w:hAnsi="Times New Roman"/>
              </w:rPr>
              <w:t>.</w:t>
            </w:r>
          </w:p>
          <w:p w14:paraId="7A47BA83" w14:textId="7C838F80" w:rsidR="000D7EB2" w:rsidRPr="00381E44" w:rsidRDefault="000D7EB2" w:rsidP="000D7EB2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Suggestion </w:t>
            </w:r>
            <w:r w:rsidR="00CD33D4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</w:rPr>
              <w:t xml:space="preserve"> students to consult with the Associate Dean as an option if </w:t>
            </w:r>
            <w:r w:rsidR="005C3B35">
              <w:rPr>
                <w:rFonts w:ascii="Times New Roman" w:hAnsi="Times New Roman"/>
              </w:rPr>
              <w:t>hesitant</w:t>
            </w:r>
            <w:r w:rsidR="00BE719D">
              <w:rPr>
                <w:rFonts w:ascii="Times New Roman" w:hAnsi="Times New Roman"/>
              </w:rPr>
              <w:t xml:space="preserve"> to meet</w:t>
            </w:r>
            <w:r>
              <w:rPr>
                <w:rFonts w:ascii="Times New Roman" w:hAnsi="Times New Roman"/>
              </w:rPr>
              <w:t xml:space="preserve"> with the chair. </w:t>
            </w:r>
          </w:p>
          <w:p w14:paraId="0F46C4AF" w14:textId="7DAE2846" w:rsidR="1D314475" w:rsidRPr="00BA4A94" w:rsidRDefault="1D314475" w:rsidP="000D7EB2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344D309D" w14:textId="572F2F41" w:rsidR="004F637A" w:rsidRDefault="004F637A" w:rsidP="004F637A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Times New Roman" w:hAnsi="Times New Roman"/>
                <w:b/>
                <w:bCs/>
              </w:rPr>
            </w:pPr>
            <w:r w:rsidRPr="004F637A">
              <w:rPr>
                <w:rFonts w:ascii="Times New Roman" w:hAnsi="Times New Roman"/>
                <w:b/>
                <w:bCs/>
              </w:rPr>
              <w:lastRenderedPageBreak/>
              <w:t xml:space="preserve">SGA representative to review the discussions about the timeline with SGA </w:t>
            </w:r>
            <w:r>
              <w:rPr>
                <w:rFonts w:ascii="Times New Roman" w:hAnsi="Times New Roman"/>
                <w:b/>
                <w:bCs/>
              </w:rPr>
              <w:t xml:space="preserve">leadership for clarification </w:t>
            </w:r>
            <w:r w:rsidRPr="004F637A">
              <w:rPr>
                <w:rFonts w:ascii="Times New Roman" w:hAnsi="Times New Roman"/>
                <w:b/>
                <w:bCs/>
              </w:rPr>
              <w:t xml:space="preserve">before making conclusion about the proposed changes </w:t>
            </w:r>
          </w:p>
          <w:p w14:paraId="3067F8ED" w14:textId="4C76FB49" w:rsidR="004F637A" w:rsidRPr="004F637A" w:rsidRDefault="00C26A8B" w:rsidP="004F637A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SGA to c</w:t>
            </w:r>
            <w:r w:rsidR="004F637A">
              <w:rPr>
                <w:rFonts w:ascii="Times New Roman" w:hAnsi="Times New Roman"/>
                <w:b/>
                <w:bCs/>
              </w:rPr>
              <w:t>onsult with</w:t>
            </w:r>
            <w:r w:rsidR="004F637A" w:rsidRPr="004F637A">
              <w:rPr>
                <w:rFonts w:ascii="Times New Roman" w:hAnsi="Times New Roman"/>
                <w:b/>
                <w:bCs/>
              </w:rPr>
              <w:t xml:space="preserve"> a preferred faculty member</w:t>
            </w:r>
          </w:p>
          <w:p w14:paraId="716D7658" w14:textId="0B92F8B0" w:rsidR="004F637A" w:rsidRPr="004F637A" w:rsidRDefault="004F637A" w:rsidP="004F637A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Times New Roman" w:hAnsi="Times New Roman"/>
                <w:b/>
                <w:bCs/>
              </w:rPr>
            </w:pPr>
            <w:r w:rsidRPr="004F637A">
              <w:rPr>
                <w:rFonts w:ascii="Times New Roman" w:hAnsi="Times New Roman"/>
                <w:b/>
                <w:bCs/>
              </w:rPr>
              <w:t>Work on the wordings</w:t>
            </w:r>
            <w:r>
              <w:rPr>
                <w:rFonts w:ascii="Times New Roman" w:hAnsi="Times New Roman"/>
                <w:b/>
                <w:bCs/>
              </w:rPr>
              <w:t xml:space="preserve"> to maintain consistency</w:t>
            </w:r>
            <w:r w:rsidR="00BE719D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8DC76E0" w14:textId="37064FCB" w:rsidR="0090280E" w:rsidRPr="000D7EB2" w:rsidRDefault="0090280E" w:rsidP="004F637A">
            <w:pPr>
              <w:pStyle w:val="ListParagraph"/>
              <w:spacing w:line="259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D26B1" w:rsidRPr="00506C33" w14:paraId="763A6892" w14:textId="77777777" w:rsidTr="1D314475">
        <w:trPr>
          <w:trHeight w:val="430"/>
        </w:trPr>
        <w:tc>
          <w:tcPr>
            <w:tcW w:w="379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442698F6" w14:textId="1414BE83" w:rsidR="1D314475" w:rsidRDefault="004F637A" w:rsidP="1D3144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F369A">
              <w:rPr>
                <w:rFonts w:ascii="Times New Roman" w:hAnsi="Times New Roman"/>
                <w:b/>
                <w:bCs/>
              </w:rPr>
              <w:t>General Review of Minor/Concentration Vetting Comments</w:t>
            </w: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3A7C27F1" w14:textId="484F7218" w:rsidR="004F637A" w:rsidRDefault="004F637A" w:rsidP="004F637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Discussion of programs offering minor</w:t>
            </w:r>
            <w:r w:rsidR="00C06948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to provide guidelines to students and produce program of change.</w:t>
            </w:r>
          </w:p>
          <w:p w14:paraId="5693B7D8" w14:textId="2D7D61CD" w:rsidR="1D314475" w:rsidRPr="004F637A" w:rsidRDefault="004F637A" w:rsidP="004F637A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Highlight rules that the students must take 50% of the courses from the minor and cannot have a minor from the concentration</w:t>
            </w: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B6DDE8" w:themeFill="accent5" w:themeFillTint="66"/>
          </w:tcPr>
          <w:p w14:paraId="080EB7C3" w14:textId="77777777" w:rsidR="004F637A" w:rsidRPr="004F637A" w:rsidRDefault="004F637A" w:rsidP="004F637A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b/>
                <w:bCs/>
              </w:rPr>
            </w:pPr>
            <w:r w:rsidRPr="004F637A">
              <w:rPr>
                <w:rFonts w:ascii="Times New Roman" w:hAnsi="Times New Roman"/>
                <w:b/>
                <w:bCs/>
              </w:rPr>
              <w:t>Chris takes the review to the next faculty senate meeting for deliberations</w:t>
            </w:r>
          </w:p>
          <w:p w14:paraId="0A0DCDD0" w14:textId="50B223C9" w:rsidR="1D314475" w:rsidRPr="000D7EB2" w:rsidRDefault="1D314475" w:rsidP="000D7EB2">
            <w:pPr>
              <w:pStyle w:val="ListParagraph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D26B1" w:rsidRPr="00506C33" w14:paraId="3CE6D049" w14:textId="77777777" w:rsidTr="1D314475">
        <w:trPr>
          <w:trHeight w:val="435"/>
        </w:trPr>
        <w:tc>
          <w:tcPr>
            <w:tcW w:w="379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7F4CD473" w14:textId="3F55671E" w:rsidR="00ED26B1" w:rsidRPr="00CD35AD" w:rsidRDefault="00ED26B1" w:rsidP="00ED26B1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417F3770" w14:textId="283B22A0" w:rsidR="00ED26B1" w:rsidRPr="00BA4A94" w:rsidRDefault="003A00AE" w:rsidP="00ED26B1">
            <w:pPr>
              <w:pStyle w:val="ListParagraph"/>
              <w:ind w:left="-18"/>
              <w:rPr>
                <w:rFonts w:ascii="Times New Roman" w:hAnsi="Times New Roman"/>
              </w:rPr>
            </w:pPr>
            <w:r w:rsidRPr="00BA4A94">
              <w:rPr>
                <w:rFonts w:ascii="Times New Roman" w:hAnsi="Times New Roman"/>
              </w:rPr>
              <w:t>1</w:t>
            </w:r>
            <w:r w:rsidR="00BA4A94" w:rsidRPr="00BA4A94">
              <w:rPr>
                <w:rFonts w:ascii="Times New Roman" w:hAnsi="Times New Roman"/>
              </w:rPr>
              <w:t>1</w:t>
            </w:r>
            <w:r w:rsidRPr="00BA4A94">
              <w:rPr>
                <w:rFonts w:ascii="Times New Roman" w:hAnsi="Times New Roman"/>
              </w:rPr>
              <w:t>:00</w:t>
            </w:r>
            <w:r w:rsidR="0090280E" w:rsidRPr="00BA4A94">
              <w:rPr>
                <w:rFonts w:ascii="Times New Roman" w:hAnsi="Times New Roman"/>
              </w:rPr>
              <w:t xml:space="preserve"> am</w:t>
            </w: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487EA0AC" w14:textId="77777777" w:rsidR="00ED26B1" w:rsidRDefault="00ED26B1" w:rsidP="00ED26B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D26B1" w:rsidRPr="00506C33" w14:paraId="5DCD73DE" w14:textId="77777777" w:rsidTr="1D314475">
        <w:trPr>
          <w:trHeight w:val="435"/>
        </w:trPr>
        <w:tc>
          <w:tcPr>
            <w:tcW w:w="379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14C586E2" w14:textId="77777777" w:rsidR="00ED26B1" w:rsidRPr="00CD35AD" w:rsidRDefault="00ED26B1" w:rsidP="00ED26B1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7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78D452E8" w14:textId="43FD8D73" w:rsidR="00ED26B1" w:rsidRPr="00BA4A94" w:rsidRDefault="00ED26B1" w:rsidP="00ED26B1">
            <w:pPr>
              <w:pStyle w:val="ListParagraph"/>
              <w:ind w:left="-18"/>
              <w:rPr>
                <w:rFonts w:ascii="Times New Roman" w:hAnsi="Times New Roman"/>
              </w:rPr>
            </w:pPr>
            <w:r w:rsidRPr="00BA4A94">
              <w:rPr>
                <w:rFonts w:ascii="Times New Roman" w:hAnsi="Times New Roman"/>
              </w:rPr>
              <w:t xml:space="preserve">Respectfully submitted by </w:t>
            </w:r>
            <w:r w:rsidR="003A00AE" w:rsidRPr="00BA4A94">
              <w:rPr>
                <w:rFonts w:ascii="Times New Roman" w:hAnsi="Times New Roman"/>
              </w:rPr>
              <w:t>Margaret Gichuru</w:t>
            </w:r>
            <w:r w:rsidR="0090280E" w:rsidRPr="00BA4A9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B6DDE8" w:themeFill="accent5" w:themeFillTint="66"/>
          </w:tcPr>
          <w:p w14:paraId="047D8113" w14:textId="77777777" w:rsidR="00ED26B1" w:rsidRDefault="00ED26B1" w:rsidP="00ED26B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FD1A8CC" w14:textId="0A858F84" w:rsidR="007C653D" w:rsidRPr="00F74A0A" w:rsidRDefault="007C653D" w:rsidP="007520A3">
      <w:pPr>
        <w:ind w:right="-450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0F716" w14:textId="77777777" w:rsidR="006935D3" w:rsidRDefault="006935D3" w:rsidP="00097DBB">
      <w:r>
        <w:separator/>
      </w:r>
    </w:p>
  </w:endnote>
  <w:endnote w:type="continuationSeparator" w:id="0">
    <w:p w14:paraId="482E6AB4" w14:textId="77777777" w:rsidR="006935D3" w:rsidRDefault="006935D3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7774F" w14:textId="77777777" w:rsidR="006935D3" w:rsidRDefault="006935D3" w:rsidP="00097DBB">
      <w:r>
        <w:separator/>
      </w:r>
    </w:p>
  </w:footnote>
  <w:footnote w:type="continuationSeparator" w:id="0">
    <w:p w14:paraId="75E49212" w14:textId="77777777" w:rsidR="006935D3" w:rsidRDefault="006935D3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1477"/>
    <w:multiLevelType w:val="hybridMultilevel"/>
    <w:tmpl w:val="D954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63"/>
    <w:multiLevelType w:val="hybridMultilevel"/>
    <w:tmpl w:val="D336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733"/>
    <w:multiLevelType w:val="hybridMultilevel"/>
    <w:tmpl w:val="28AA5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977F6A"/>
    <w:multiLevelType w:val="hybridMultilevel"/>
    <w:tmpl w:val="BD90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450A6"/>
    <w:multiLevelType w:val="hybridMultilevel"/>
    <w:tmpl w:val="11CC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454C4"/>
    <w:multiLevelType w:val="hybridMultilevel"/>
    <w:tmpl w:val="5F88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95C68"/>
    <w:multiLevelType w:val="hybridMultilevel"/>
    <w:tmpl w:val="A844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31DA"/>
    <w:multiLevelType w:val="hybridMultilevel"/>
    <w:tmpl w:val="8650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339F8"/>
    <w:multiLevelType w:val="hybridMultilevel"/>
    <w:tmpl w:val="3E581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2C4A92"/>
    <w:multiLevelType w:val="hybridMultilevel"/>
    <w:tmpl w:val="1002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C0D3A"/>
    <w:multiLevelType w:val="hybridMultilevel"/>
    <w:tmpl w:val="2C6C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659"/>
    <w:multiLevelType w:val="hybridMultilevel"/>
    <w:tmpl w:val="FFAC359E"/>
    <w:lvl w:ilvl="0" w:tplc="4726D0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63CD0"/>
    <w:multiLevelType w:val="hybridMultilevel"/>
    <w:tmpl w:val="64DEF09C"/>
    <w:lvl w:ilvl="0" w:tplc="31A872D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9992D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81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02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63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EC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64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A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CF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F35F0"/>
    <w:multiLevelType w:val="hybridMultilevel"/>
    <w:tmpl w:val="D49A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B0F69"/>
    <w:multiLevelType w:val="hybridMultilevel"/>
    <w:tmpl w:val="5896E09A"/>
    <w:lvl w:ilvl="0" w:tplc="4726D0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30B10"/>
    <w:multiLevelType w:val="hybridMultilevel"/>
    <w:tmpl w:val="4742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61DE8"/>
    <w:multiLevelType w:val="hybridMultilevel"/>
    <w:tmpl w:val="EB52474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3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B0F90"/>
    <w:multiLevelType w:val="hybridMultilevel"/>
    <w:tmpl w:val="B884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3F14"/>
    <w:multiLevelType w:val="hybridMultilevel"/>
    <w:tmpl w:val="24F8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E3504"/>
    <w:multiLevelType w:val="hybridMultilevel"/>
    <w:tmpl w:val="87D680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78D3978"/>
    <w:multiLevelType w:val="hybridMultilevel"/>
    <w:tmpl w:val="BD26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76BAA"/>
    <w:multiLevelType w:val="hybridMultilevel"/>
    <w:tmpl w:val="564408D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2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8"/>
  </w:num>
  <w:num w:numId="4">
    <w:abstractNumId w:val="18"/>
  </w:num>
  <w:num w:numId="5">
    <w:abstractNumId w:val="33"/>
  </w:num>
  <w:num w:numId="6">
    <w:abstractNumId w:val="27"/>
  </w:num>
  <w:num w:numId="7">
    <w:abstractNumId w:val="17"/>
  </w:num>
  <w:num w:numId="8">
    <w:abstractNumId w:val="19"/>
  </w:num>
  <w:num w:numId="9">
    <w:abstractNumId w:val="23"/>
  </w:num>
  <w:num w:numId="10">
    <w:abstractNumId w:val="26"/>
  </w:num>
  <w:num w:numId="11">
    <w:abstractNumId w:val="4"/>
  </w:num>
  <w:num w:numId="12">
    <w:abstractNumId w:val="32"/>
  </w:num>
  <w:num w:numId="13">
    <w:abstractNumId w:val="3"/>
  </w:num>
  <w:num w:numId="14">
    <w:abstractNumId w:val="31"/>
  </w:num>
  <w:num w:numId="15">
    <w:abstractNumId w:val="22"/>
  </w:num>
  <w:num w:numId="16">
    <w:abstractNumId w:val="29"/>
  </w:num>
  <w:num w:numId="17">
    <w:abstractNumId w:val="9"/>
  </w:num>
  <w:num w:numId="18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>
    <w:abstractNumId w:val="20"/>
  </w:num>
  <w:num w:numId="20">
    <w:abstractNumId w:val="14"/>
  </w:num>
  <w:num w:numId="21">
    <w:abstractNumId w:val="16"/>
  </w:num>
  <w:num w:numId="22">
    <w:abstractNumId w:val="5"/>
  </w:num>
  <w:num w:numId="23">
    <w:abstractNumId w:val="10"/>
  </w:num>
  <w:num w:numId="24">
    <w:abstractNumId w:val="12"/>
  </w:num>
  <w:num w:numId="25">
    <w:abstractNumId w:val="11"/>
  </w:num>
  <w:num w:numId="26">
    <w:abstractNumId w:val="21"/>
  </w:num>
  <w:num w:numId="27">
    <w:abstractNumId w:val="13"/>
  </w:num>
  <w:num w:numId="28">
    <w:abstractNumId w:val="2"/>
  </w:num>
  <w:num w:numId="29">
    <w:abstractNumId w:val="30"/>
  </w:num>
  <w:num w:numId="30">
    <w:abstractNumId w:val="25"/>
  </w:num>
  <w:num w:numId="31">
    <w:abstractNumId w:val="24"/>
  </w:num>
  <w:num w:numId="32">
    <w:abstractNumId w:val="6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4D"/>
    <w:rsid w:val="000034DD"/>
    <w:rsid w:val="00011527"/>
    <w:rsid w:val="00012B29"/>
    <w:rsid w:val="000202A2"/>
    <w:rsid w:val="00024608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0E81"/>
    <w:rsid w:val="000D61B7"/>
    <w:rsid w:val="000D6D16"/>
    <w:rsid w:val="000D6E75"/>
    <w:rsid w:val="000D7EB2"/>
    <w:rsid w:val="000E5D05"/>
    <w:rsid w:val="000E62A3"/>
    <w:rsid w:val="000F1F2B"/>
    <w:rsid w:val="00100921"/>
    <w:rsid w:val="00103E7F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2664"/>
    <w:rsid w:val="00155FD9"/>
    <w:rsid w:val="00160A2C"/>
    <w:rsid w:val="00160E0D"/>
    <w:rsid w:val="001657AF"/>
    <w:rsid w:val="00180148"/>
    <w:rsid w:val="00184345"/>
    <w:rsid w:val="001914D8"/>
    <w:rsid w:val="001A5FF4"/>
    <w:rsid w:val="001A7CB0"/>
    <w:rsid w:val="001B2A3E"/>
    <w:rsid w:val="001B3599"/>
    <w:rsid w:val="001B6317"/>
    <w:rsid w:val="001D11A3"/>
    <w:rsid w:val="001D1C8A"/>
    <w:rsid w:val="001D307B"/>
    <w:rsid w:val="001D3114"/>
    <w:rsid w:val="001D3E70"/>
    <w:rsid w:val="001D5BE2"/>
    <w:rsid w:val="001F007A"/>
    <w:rsid w:val="001F2D6B"/>
    <w:rsid w:val="001F7183"/>
    <w:rsid w:val="0020190A"/>
    <w:rsid w:val="002023D9"/>
    <w:rsid w:val="00203CF4"/>
    <w:rsid w:val="00210B86"/>
    <w:rsid w:val="00217098"/>
    <w:rsid w:val="0021782F"/>
    <w:rsid w:val="002232F9"/>
    <w:rsid w:val="00223E17"/>
    <w:rsid w:val="00227EE1"/>
    <w:rsid w:val="002302FD"/>
    <w:rsid w:val="0023474E"/>
    <w:rsid w:val="002419CB"/>
    <w:rsid w:val="002460E3"/>
    <w:rsid w:val="00250838"/>
    <w:rsid w:val="00250CFE"/>
    <w:rsid w:val="00251ACE"/>
    <w:rsid w:val="00256947"/>
    <w:rsid w:val="002610CF"/>
    <w:rsid w:val="002633F0"/>
    <w:rsid w:val="00265E93"/>
    <w:rsid w:val="0028210B"/>
    <w:rsid w:val="00286DE5"/>
    <w:rsid w:val="00290412"/>
    <w:rsid w:val="002917D0"/>
    <w:rsid w:val="00292BB9"/>
    <w:rsid w:val="00295542"/>
    <w:rsid w:val="002A1AEE"/>
    <w:rsid w:val="002A7027"/>
    <w:rsid w:val="002B3E17"/>
    <w:rsid w:val="002B5FFB"/>
    <w:rsid w:val="002C3F1F"/>
    <w:rsid w:val="002D2126"/>
    <w:rsid w:val="002D28D7"/>
    <w:rsid w:val="002E0CB3"/>
    <w:rsid w:val="002E546B"/>
    <w:rsid w:val="002F11F6"/>
    <w:rsid w:val="002F16D0"/>
    <w:rsid w:val="002F256B"/>
    <w:rsid w:val="002F459F"/>
    <w:rsid w:val="002F4C65"/>
    <w:rsid w:val="00303B21"/>
    <w:rsid w:val="00311BA6"/>
    <w:rsid w:val="003130F5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932FE"/>
    <w:rsid w:val="00395865"/>
    <w:rsid w:val="003A00AE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0548"/>
    <w:rsid w:val="00461DCA"/>
    <w:rsid w:val="004631AE"/>
    <w:rsid w:val="00464F97"/>
    <w:rsid w:val="004662D4"/>
    <w:rsid w:val="004678D2"/>
    <w:rsid w:val="0047030F"/>
    <w:rsid w:val="00472F4C"/>
    <w:rsid w:val="0047767A"/>
    <w:rsid w:val="004859F9"/>
    <w:rsid w:val="00485B9D"/>
    <w:rsid w:val="00490E04"/>
    <w:rsid w:val="0049132B"/>
    <w:rsid w:val="004947E1"/>
    <w:rsid w:val="004A6E91"/>
    <w:rsid w:val="004A6FC1"/>
    <w:rsid w:val="004B300F"/>
    <w:rsid w:val="004C0C12"/>
    <w:rsid w:val="004C3AD1"/>
    <w:rsid w:val="004C409C"/>
    <w:rsid w:val="004C4FF6"/>
    <w:rsid w:val="004C6846"/>
    <w:rsid w:val="004C740F"/>
    <w:rsid w:val="004E136F"/>
    <w:rsid w:val="004E586C"/>
    <w:rsid w:val="004F5234"/>
    <w:rsid w:val="004F637A"/>
    <w:rsid w:val="004F6C8D"/>
    <w:rsid w:val="0050076F"/>
    <w:rsid w:val="005064C3"/>
    <w:rsid w:val="00506C33"/>
    <w:rsid w:val="00512B1C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0C3B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C3B35"/>
    <w:rsid w:val="005E22B4"/>
    <w:rsid w:val="005E24F3"/>
    <w:rsid w:val="005F382F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4202"/>
    <w:rsid w:val="00654013"/>
    <w:rsid w:val="00657360"/>
    <w:rsid w:val="006600EE"/>
    <w:rsid w:val="00662977"/>
    <w:rsid w:val="00663251"/>
    <w:rsid w:val="006657A1"/>
    <w:rsid w:val="0066628C"/>
    <w:rsid w:val="00666DAF"/>
    <w:rsid w:val="00667900"/>
    <w:rsid w:val="0067175F"/>
    <w:rsid w:val="006746EE"/>
    <w:rsid w:val="006756FC"/>
    <w:rsid w:val="00676324"/>
    <w:rsid w:val="00676FCD"/>
    <w:rsid w:val="0068701D"/>
    <w:rsid w:val="006935D3"/>
    <w:rsid w:val="0069483B"/>
    <w:rsid w:val="00695F60"/>
    <w:rsid w:val="006A0642"/>
    <w:rsid w:val="006A5574"/>
    <w:rsid w:val="006B1D1B"/>
    <w:rsid w:val="006B4CC3"/>
    <w:rsid w:val="006C6144"/>
    <w:rsid w:val="006D53C9"/>
    <w:rsid w:val="006E2CBF"/>
    <w:rsid w:val="006E55F2"/>
    <w:rsid w:val="006F1B9E"/>
    <w:rsid w:val="006F4531"/>
    <w:rsid w:val="006F6EB7"/>
    <w:rsid w:val="006F710A"/>
    <w:rsid w:val="006F722D"/>
    <w:rsid w:val="006F7EC7"/>
    <w:rsid w:val="00703457"/>
    <w:rsid w:val="00705F3C"/>
    <w:rsid w:val="007104D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20A3"/>
    <w:rsid w:val="00757E6D"/>
    <w:rsid w:val="00760F1C"/>
    <w:rsid w:val="00764E1A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15EC"/>
    <w:rsid w:val="007B294D"/>
    <w:rsid w:val="007B70E2"/>
    <w:rsid w:val="007C2F3D"/>
    <w:rsid w:val="007C653D"/>
    <w:rsid w:val="007D4085"/>
    <w:rsid w:val="007D4579"/>
    <w:rsid w:val="007E38C8"/>
    <w:rsid w:val="007F4F03"/>
    <w:rsid w:val="007F5E2A"/>
    <w:rsid w:val="00805846"/>
    <w:rsid w:val="00813C2B"/>
    <w:rsid w:val="008269AB"/>
    <w:rsid w:val="008278C0"/>
    <w:rsid w:val="00840B19"/>
    <w:rsid w:val="008413B6"/>
    <w:rsid w:val="008453BE"/>
    <w:rsid w:val="00851DF3"/>
    <w:rsid w:val="00854474"/>
    <w:rsid w:val="008550E7"/>
    <w:rsid w:val="008568C1"/>
    <w:rsid w:val="00857F30"/>
    <w:rsid w:val="00864193"/>
    <w:rsid w:val="0086428E"/>
    <w:rsid w:val="0086740F"/>
    <w:rsid w:val="0086765F"/>
    <w:rsid w:val="008700CB"/>
    <w:rsid w:val="00880769"/>
    <w:rsid w:val="00884811"/>
    <w:rsid w:val="0089240B"/>
    <w:rsid w:val="00892D02"/>
    <w:rsid w:val="008934E3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0280E"/>
    <w:rsid w:val="0091371A"/>
    <w:rsid w:val="00914B58"/>
    <w:rsid w:val="00932980"/>
    <w:rsid w:val="009343D9"/>
    <w:rsid w:val="00935DBB"/>
    <w:rsid w:val="00947A20"/>
    <w:rsid w:val="009520F8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C05F7"/>
    <w:rsid w:val="009C34FA"/>
    <w:rsid w:val="009D0B8D"/>
    <w:rsid w:val="009D379F"/>
    <w:rsid w:val="009D7266"/>
    <w:rsid w:val="009F3CA7"/>
    <w:rsid w:val="00A01B44"/>
    <w:rsid w:val="00A071FA"/>
    <w:rsid w:val="00A12616"/>
    <w:rsid w:val="00A139D1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21FD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59E2"/>
    <w:rsid w:val="00AD67BD"/>
    <w:rsid w:val="00AE0C10"/>
    <w:rsid w:val="00AE3114"/>
    <w:rsid w:val="00AE4450"/>
    <w:rsid w:val="00AE4E47"/>
    <w:rsid w:val="00AF4509"/>
    <w:rsid w:val="00B012E0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50393"/>
    <w:rsid w:val="00B62571"/>
    <w:rsid w:val="00B62D85"/>
    <w:rsid w:val="00B66560"/>
    <w:rsid w:val="00B74988"/>
    <w:rsid w:val="00B91202"/>
    <w:rsid w:val="00BA1951"/>
    <w:rsid w:val="00BA4A94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E719D"/>
    <w:rsid w:val="00BF1990"/>
    <w:rsid w:val="00BF7859"/>
    <w:rsid w:val="00BF7D49"/>
    <w:rsid w:val="00C03865"/>
    <w:rsid w:val="00C062E3"/>
    <w:rsid w:val="00C06948"/>
    <w:rsid w:val="00C124F8"/>
    <w:rsid w:val="00C20440"/>
    <w:rsid w:val="00C24CA2"/>
    <w:rsid w:val="00C2626A"/>
    <w:rsid w:val="00C26A8B"/>
    <w:rsid w:val="00C37260"/>
    <w:rsid w:val="00C441FF"/>
    <w:rsid w:val="00C44392"/>
    <w:rsid w:val="00C5277A"/>
    <w:rsid w:val="00C645F1"/>
    <w:rsid w:val="00C70E23"/>
    <w:rsid w:val="00C74920"/>
    <w:rsid w:val="00C87AA6"/>
    <w:rsid w:val="00C918B9"/>
    <w:rsid w:val="00CA020D"/>
    <w:rsid w:val="00CA375D"/>
    <w:rsid w:val="00CA7074"/>
    <w:rsid w:val="00CB3EBE"/>
    <w:rsid w:val="00CB5E83"/>
    <w:rsid w:val="00CC0853"/>
    <w:rsid w:val="00CC0D4E"/>
    <w:rsid w:val="00CC5178"/>
    <w:rsid w:val="00CD33D4"/>
    <w:rsid w:val="00CD35AD"/>
    <w:rsid w:val="00CD5547"/>
    <w:rsid w:val="00CE04AC"/>
    <w:rsid w:val="00CE6764"/>
    <w:rsid w:val="00CF3E22"/>
    <w:rsid w:val="00D07165"/>
    <w:rsid w:val="00D11A4D"/>
    <w:rsid w:val="00D21AD8"/>
    <w:rsid w:val="00D21BA8"/>
    <w:rsid w:val="00D26878"/>
    <w:rsid w:val="00D2744F"/>
    <w:rsid w:val="00D27686"/>
    <w:rsid w:val="00D3073F"/>
    <w:rsid w:val="00D31A4B"/>
    <w:rsid w:val="00D34CDB"/>
    <w:rsid w:val="00D403CA"/>
    <w:rsid w:val="00D44E9E"/>
    <w:rsid w:val="00D501B1"/>
    <w:rsid w:val="00D50970"/>
    <w:rsid w:val="00D53525"/>
    <w:rsid w:val="00D61B92"/>
    <w:rsid w:val="00D6596C"/>
    <w:rsid w:val="00D72CC5"/>
    <w:rsid w:val="00D7458C"/>
    <w:rsid w:val="00D80CC2"/>
    <w:rsid w:val="00D851A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48B"/>
    <w:rsid w:val="00DE45BF"/>
    <w:rsid w:val="00DE7B62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3FDA"/>
    <w:rsid w:val="00E3633A"/>
    <w:rsid w:val="00E57F3A"/>
    <w:rsid w:val="00E60E28"/>
    <w:rsid w:val="00E64199"/>
    <w:rsid w:val="00E66892"/>
    <w:rsid w:val="00E701BC"/>
    <w:rsid w:val="00E718F6"/>
    <w:rsid w:val="00E83EFF"/>
    <w:rsid w:val="00E85F8F"/>
    <w:rsid w:val="00E863D1"/>
    <w:rsid w:val="00E87D8E"/>
    <w:rsid w:val="00E90177"/>
    <w:rsid w:val="00E96B53"/>
    <w:rsid w:val="00EA100B"/>
    <w:rsid w:val="00EA15CC"/>
    <w:rsid w:val="00EA225B"/>
    <w:rsid w:val="00EA37C3"/>
    <w:rsid w:val="00EA3F3A"/>
    <w:rsid w:val="00EA55E8"/>
    <w:rsid w:val="00EA5A91"/>
    <w:rsid w:val="00EB0E8B"/>
    <w:rsid w:val="00EC39AD"/>
    <w:rsid w:val="00EC4119"/>
    <w:rsid w:val="00EC6335"/>
    <w:rsid w:val="00ED26B1"/>
    <w:rsid w:val="00ED3359"/>
    <w:rsid w:val="00ED6B18"/>
    <w:rsid w:val="00EE219F"/>
    <w:rsid w:val="00EE6C40"/>
    <w:rsid w:val="00EF3ED0"/>
    <w:rsid w:val="00F002AD"/>
    <w:rsid w:val="00F264BD"/>
    <w:rsid w:val="00F3041B"/>
    <w:rsid w:val="00F4027F"/>
    <w:rsid w:val="00F419A0"/>
    <w:rsid w:val="00F42CE4"/>
    <w:rsid w:val="00F440EE"/>
    <w:rsid w:val="00F51094"/>
    <w:rsid w:val="00F51348"/>
    <w:rsid w:val="00F563FC"/>
    <w:rsid w:val="00F63F3D"/>
    <w:rsid w:val="00F708C3"/>
    <w:rsid w:val="00F71FE6"/>
    <w:rsid w:val="00F74A0A"/>
    <w:rsid w:val="00F76A65"/>
    <w:rsid w:val="00F779A3"/>
    <w:rsid w:val="00F81B3D"/>
    <w:rsid w:val="00F8229E"/>
    <w:rsid w:val="00F854BD"/>
    <w:rsid w:val="00F908E8"/>
    <w:rsid w:val="00F91C9E"/>
    <w:rsid w:val="00F95D8A"/>
    <w:rsid w:val="00F96EE0"/>
    <w:rsid w:val="00FA4BD6"/>
    <w:rsid w:val="00FB2178"/>
    <w:rsid w:val="00FC2B60"/>
    <w:rsid w:val="00FC2D23"/>
    <w:rsid w:val="00FD0315"/>
    <w:rsid w:val="00FD1761"/>
    <w:rsid w:val="00FE17D4"/>
    <w:rsid w:val="00FE42F1"/>
    <w:rsid w:val="00FE6DD3"/>
    <w:rsid w:val="00FF042E"/>
    <w:rsid w:val="00FF2934"/>
    <w:rsid w:val="00FF403D"/>
    <w:rsid w:val="00FF5A70"/>
    <w:rsid w:val="00FF752D"/>
    <w:rsid w:val="1D31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10</cp:revision>
  <cp:lastPrinted>2012-02-03T14:02:00Z</cp:lastPrinted>
  <dcterms:created xsi:type="dcterms:W3CDTF">2020-12-02T18:43:00Z</dcterms:created>
  <dcterms:modified xsi:type="dcterms:W3CDTF">2020-12-04T15:05:00Z</dcterms:modified>
</cp:coreProperties>
</file>